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426115" w:rsidP="00426115">
            <w:pPr>
              <w:jc w:val="center"/>
            </w:pPr>
            <w:r>
              <w:t>0</w:t>
            </w:r>
            <w:r w:rsidR="00E87192">
              <w:t>9</w:t>
            </w:r>
            <w:r>
              <w:t>.01.</w:t>
            </w:r>
          </w:p>
          <w:p w:rsidR="00D22EB5" w:rsidRDefault="00E87192" w:rsidP="00426115">
            <w:pPr>
              <w:jc w:val="center"/>
            </w:pPr>
            <w:r>
              <w:t>23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06</w:t>
            </w:r>
            <w:r w:rsidR="00426115">
              <w:t>.02.</w:t>
            </w:r>
          </w:p>
          <w:p w:rsidR="00D22EB5" w:rsidRDefault="00E87192" w:rsidP="00426115">
            <w:pPr>
              <w:jc w:val="center"/>
            </w:pPr>
            <w:r>
              <w:t>20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05</w:t>
            </w:r>
            <w:r w:rsidR="00426115">
              <w:t>.03.</w:t>
            </w:r>
          </w:p>
          <w:p w:rsidR="00D3215D" w:rsidRDefault="00426115" w:rsidP="00426115">
            <w:pPr>
              <w:jc w:val="center"/>
            </w:pPr>
            <w:r>
              <w:t>1</w:t>
            </w:r>
            <w:r w:rsidR="00E87192">
              <w:t>9</w:t>
            </w:r>
            <w:r>
              <w:t>.03.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02</w:t>
            </w:r>
            <w:r w:rsidR="00426115">
              <w:t>.04.</w:t>
            </w:r>
          </w:p>
          <w:p w:rsidR="00D3215D" w:rsidRDefault="00E87192" w:rsidP="00426115">
            <w:pPr>
              <w:jc w:val="center"/>
            </w:pPr>
            <w:r>
              <w:t>16</w:t>
            </w:r>
            <w:r w:rsidR="00426115">
              <w:t>.04.</w:t>
            </w:r>
            <w:r>
              <w:t xml:space="preserve"> 30.04.</w:t>
            </w:r>
          </w:p>
        </w:tc>
        <w:tc>
          <w:tcPr>
            <w:tcW w:w="1094" w:type="dxa"/>
            <w:vAlign w:val="center"/>
          </w:tcPr>
          <w:p w:rsidR="00426115" w:rsidRDefault="00E87192" w:rsidP="00E87192">
            <w:pPr>
              <w:jc w:val="center"/>
            </w:pPr>
            <w:r>
              <w:t>14</w:t>
            </w:r>
            <w:r w:rsidR="00426115">
              <w:t>.05.</w:t>
            </w:r>
          </w:p>
          <w:p w:rsidR="00D3215D" w:rsidRDefault="00E87192" w:rsidP="00426115">
            <w:pPr>
              <w:jc w:val="center"/>
            </w:pPr>
            <w:r>
              <w:t>28</w:t>
            </w:r>
            <w:r w:rsidR="00426115">
              <w:t>.05.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11</w:t>
            </w:r>
            <w:r w:rsidR="00426115">
              <w:t>.06.</w:t>
            </w:r>
          </w:p>
          <w:p w:rsidR="00D3215D" w:rsidRDefault="00E87192" w:rsidP="00426115">
            <w:pPr>
              <w:jc w:val="center"/>
            </w:pPr>
            <w:r>
              <w:t>25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09</w:t>
            </w:r>
            <w:r w:rsidR="00426115">
              <w:t>.07.</w:t>
            </w:r>
          </w:p>
          <w:p w:rsidR="00D3215D" w:rsidRDefault="00E87192" w:rsidP="00426115">
            <w:pPr>
              <w:jc w:val="center"/>
            </w:pPr>
            <w:r>
              <w:t>23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06</w:t>
            </w:r>
            <w:r w:rsidR="00426115">
              <w:t>.08.</w:t>
            </w:r>
          </w:p>
          <w:p w:rsidR="00D3215D" w:rsidRDefault="00E87192" w:rsidP="00426115">
            <w:pPr>
              <w:jc w:val="center"/>
            </w:pPr>
            <w:r>
              <w:t>20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03</w:t>
            </w:r>
            <w:r w:rsidR="00426115">
              <w:t>.09.</w:t>
            </w:r>
          </w:p>
          <w:p w:rsidR="00D3215D" w:rsidRDefault="00E87192" w:rsidP="00426115">
            <w:pPr>
              <w:jc w:val="center"/>
            </w:pPr>
            <w:r>
              <w:t>17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01</w:t>
            </w:r>
            <w:r w:rsidR="00426115">
              <w:t>.10.</w:t>
            </w:r>
          </w:p>
          <w:p w:rsidR="00426115" w:rsidRDefault="00E87192" w:rsidP="00426115">
            <w:pPr>
              <w:jc w:val="center"/>
            </w:pPr>
            <w:r>
              <w:t>15</w:t>
            </w:r>
            <w:r w:rsidR="00426115">
              <w:t>.10.</w:t>
            </w:r>
          </w:p>
          <w:p w:rsidR="00D3215D" w:rsidRDefault="00E87192" w:rsidP="00426115">
            <w:pPr>
              <w:jc w:val="center"/>
            </w:pPr>
            <w:r>
              <w:t>29</w:t>
            </w:r>
            <w:r w:rsidR="00426115">
              <w:t>.10.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12</w:t>
            </w:r>
            <w:r w:rsidR="00426115">
              <w:t>.11.</w:t>
            </w:r>
          </w:p>
          <w:p w:rsidR="00D3215D" w:rsidRDefault="00E87192" w:rsidP="00426115">
            <w:pPr>
              <w:jc w:val="center"/>
            </w:pPr>
            <w:r>
              <w:t>26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10</w:t>
            </w:r>
            <w:r w:rsidR="00426115">
              <w:t>.12.</w:t>
            </w:r>
          </w:p>
          <w:p w:rsidR="00D3215D" w:rsidRDefault="00E87192" w:rsidP="00426115">
            <w:pPr>
              <w:jc w:val="center"/>
            </w:pPr>
            <w:r>
              <w:t>24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8A43BA" w:rsidRDefault="008A43BA" w:rsidP="008A43BA">
            <w:pPr>
              <w:jc w:val="center"/>
            </w:pPr>
            <w:r>
              <w:t>11.01.</w:t>
            </w:r>
          </w:p>
          <w:p w:rsidR="009D6A7C" w:rsidRDefault="008A43BA" w:rsidP="008A43BA">
            <w:pPr>
              <w:jc w:val="center"/>
            </w:pPr>
            <w:r>
              <w:t>25.01.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08.02.</w:t>
            </w:r>
          </w:p>
          <w:p w:rsidR="009D6A7C" w:rsidRDefault="008A43BA" w:rsidP="008A43BA">
            <w:pPr>
              <w:jc w:val="center"/>
            </w:pPr>
            <w:r>
              <w:t>22.02.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07.03.</w:t>
            </w:r>
          </w:p>
          <w:p w:rsidR="009D6A7C" w:rsidRDefault="008A43BA" w:rsidP="008A43BA">
            <w:pPr>
              <w:jc w:val="center"/>
            </w:pPr>
            <w:r>
              <w:t>21.03.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04.04.</w:t>
            </w:r>
          </w:p>
          <w:p w:rsidR="009D6A7C" w:rsidRDefault="008A43BA" w:rsidP="008A43BA">
            <w:pPr>
              <w:jc w:val="center"/>
            </w:pPr>
            <w:r>
              <w:t>18.04.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02.05.</w:t>
            </w:r>
          </w:p>
          <w:p w:rsidR="009D6A7C" w:rsidRDefault="008A43BA" w:rsidP="008A43BA">
            <w:pPr>
              <w:jc w:val="center"/>
            </w:pPr>
            <w:r>
              <w:t>16.05. 31.05.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13.06.</w:t>
            </w:r>
          </w:p>
          <w:p w:rsidR="009D6A7C" w:rsidRDefault="008A43BA" w:rsidP="008A43BA">
            <w:pPr>
              <w:jc w:val="center"/>
            </w:pPr>
            <w:r>
              <w:t>27.06.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11.07.</w:t>
            </w:r>
          </w:p>
          <w:p w:rsidR="009D6A7C" w:rsidRDefault="008A43BA" w:rsidP="008A43BA">
            <w:pPr>
              <w:jc w:val="center"/>
            </w:pPr>
            <w:r>
              <w:t>25.07.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08.08.</w:t>
            </w:r>
          </w:p>
          <w:p w:rsidR="009D6A7C" w:rsidRDefault="008A43BA" w:rsidP="008A43BA">
            <w:pPr>
              <w:jc w:val="center"/>
            </w:pPr>
            <w:r>
              <w:t>22.08.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05.09.</w:t>
            </w:r>
          </w:p>
          <w:p w:rsidR="009D6A7C" w:rsidRDefault="008A43BA" w:rsidP="008A43BA">
            <w:pPr>
              <w:jc w:val="center"/>
            </w:pPr>
            <w:r>
              <w:t>19.09.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03.10.</w:t>
            </w:r>
          </w:p>
          <w:p w:rsidR="009D6A7C" w:rsidRDefault="008A43BA" w:rsidP="008A43BA">
            <w:pPr>
              <w:jc w:val="center"/>
            </w:pPr>
            <w:r>
              <w:t>17.10. 31.10.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14.11.</w:t>
            </w:r>
          </w:p>
          <w:p w:rsidR="009D6A7C" w:rsidRDefault="008A43BA" w:rsidP="008A43BA">
            <w:pPr>
              <w:jc w:val="center"/>
            </w:pPr>
            <w:r>
              <w:t>28.11.</w:t>
            </w:r>
          </w:p>
        </w:tc>
        <w:tc>
          <w:tcPr>
            <w:tcW w:w="1094" w:type="dxa"/>
            <w:vAlign w:val="center"/>
          </w:tcPr>
          <w:p w:rsidR="008A43BA" w:rsidRDefault="008A43BA" w:rsidP="008A43BA">
            <w:pPr>
              <w:jc w:val="center"/>
            </w:pPr>
            <w:r>
              <w:t>12.12.</w:t>
            </w:r>
          </w:p>
          <w:p w:rsidR="009D6A7C" w:rsidRDefault="008A43BA" w:rsidP="008A43BA">
            <w:pPr>
              <w:jc w:val="center"/>
            </w:pPr>
            <w:r>
              <w:t>27.12.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D3215D" w:rsidRDefault="00E87192" w:rsidP="007E723D">
            <w:pPr>
              <w:jc w:val="center"/>
            </w:pPr>
            <w:r>
              <w:t>02</w:t>
            </w:r>
            <w:r w:rsidR="00D3215D">
              <w:t>.01.</w:t>
            </w:r>
          </w:p>
          <w:p w:rsidR="009D6A7C" w:rsidRDefault="00E87192" w:rsidP="007E723D">
            <w:pPr>
              <w:jc w:val="center"/>
            </w:pPr>
            <w:r>
              <w:t>30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27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26</w:t>
            </w:r>
            <w:r w:rsidR="00D3215D">
              <w:t>.03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23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E87192">
              <w:t>1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18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16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13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10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C4768A" w:rsidP="007E723D">
            <w:pPr>
              <w:jc w:val="center"/>
            </w:pPr>
            <w:r>
              <w:t>0</w:t>
            </w:r>
            <w:r w:rsidR="00741570">
              <w:t>8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05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03</w:t>
            </w:r>
            <w:r w:rsidR="00D3215D">
              <w:t>.12.</w:t>
            </w:r>
            <w:r>
              <w:t xml:space="preserve"> 31.12.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741570" w:rsidP="007E723D">
            <w:pPr>
              <w:jc w:val="center"/>
            </w:pPr>
            <w:r>
              <w:t>16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13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12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09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07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04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741570" w:rsidP="00C4768A">
            <w:pPr>
              <w:jc w:val="center"/>
            </w:pPr>
            <w:r>
              <w:t>02</w:t>
            </w:r>
            <w:r w:rsidR="00C4768A">
              <w:t>.07.</w:t>
            </w:r>
            <w:r>
              <w:t xml:space="preserve"> 30.07.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741570">
              <w:t>7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741570">
              <w:t>4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741570">
              <w:t>2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C4768A" w:rsidP="007E723D">
            <w:pPr>
              <w:jc w:val="center"/>
            </w:pPr>
            <w:r>
              <w:t>1</w:t>
            </w:r>
            <w:r w:rsidR="00741570">
              <w:t>9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17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16.01.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13.02.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12.03.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09.04.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07.05.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04.06.</w:t>
            </w:r>
          </w:p>
        </w:tc>
        <w:tc>
          <w:tcPr>
            <w:tcW w:w="1094" w:type="dxa"/>
            <w:vAlign w:val="center"/>
          </w:tcPr>
          <w:p w:rsidR="009D6A7C" w:rsidRDefault="00741570" w:rsidP="00951EAD">
            <w:pPr>
              <w:jc w:val="center"/>
            </w:pPr>
            <w:r w:rsidRPr="00741570">
              <w:t>02.07. 30.07.</w:t>
            </w:r>
          </w:p>
        </w:tc>
        <w:tc>
          <w:tcPr>
            <w:tcW w:w="1094" w:type="dxa"/>
            <w:vAlign w:val="center"/>
          </w:tcPr>
          <w:p w:rsidR="009D6A7C" w:rsidRDefault="00741570" w:rsidP="00C4768A">
            <w:pPr>
              <w:jc w:val="center"/>
            </w:pPr>
            <w:r w:rsidRPr="00741570">
              <w:t>27.08.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24.09.</w:t>
            </w:r>
          </w:p>
        </w:tc>
        <w:tc>
          <w:tcPr>
            <w:tcW w:w="1094" w:type="dxa"/>
            <w:vAlign w:val="center"/>
          </w:tcPr>
          <w:p w:rsidR="009D6A7C" w:rsidRDefault="00741570" w:rsidP="00951EAD">
            <w:pPr>
              <w:jc w:val="center"/>
            </w:pPr>
            <w:r w:rsidRPr="00741570">
              <w:t>22.10.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19.11.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17.12.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BE3D08" w:rsidP="007E723D">
            <w:pPr>
              <w:jc w:val="center"/>
            </w:pPr>
            <w:r>
              <w:t>20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BE3D08">
              <w:t>4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E3D08" w:rsidP="007E723D">
            <w:pPr>
              <w:jc w:val="center"/>
            </w:pPr>
            <w:r>
              <w:t>20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E3D08" w:rsidP="007E723D">
            <w:pPr>
              <w:jc w:val="center"/>
            </w:pPr>
            <w:r>
              <w:t>26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BE3D08" w:rsidP="007E723D">
            <w:pPr>
              <w:jc w:val="center"/>
            </w:pPr>
            <w:r>
              <w:t>20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E3D08" w:rsidP="007E723D">
            <w:pPr>
              <w:jc w:val="center"/>
            </w:pPr>
            <w:r>
              <w:t>14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E3D08" w:rsidP="007E723D">
            <w:pPr>
              <w:jc w:val="center"/>
            </w:pPr>
            <w:r>
              <w:t>20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E3D08" w:rsidP="007E723D">
            <w:pPr>
              <w:jc w:val="center"/>
            </w:pPr>
            <w:r>
              <w:t>26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081D47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E87192" w:rsidRDefault="00E87192" w:rsidP="00E87192">
            <w:pPr>
              <w:jc w:val="center"/>
            </w:pPr>
            <w:r>
              <w:t>09.01.</w:t>
            </w:r>
          </w:p>
          <w:p w:rsidR="009D6A7C" w:rsidRDefault="00E87192" w:rsidP="00E87192">
            <w:pPr>
              <w:jc w:val="center"/>
            </w:pPr>
            <w:r>
              <w:t>23.01.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06.02.</w:t>
            </w:r>
          </w:p>
          <w:p w:rsidR="009D6A7C" w:rsidRDefault="00E87192" w:rsidP="00E87192">
            <w:pPr>
              <w:jc w:val="center"/>
            </w:pPr>
            <w:r>
              <w:t>20.02.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05.03.</w:t>
            </w:r>
          </w:p>
          <w:p w:rsidR="009D6A7C" w:rsidRDefault="00E87192" w:rsidP="00E87192">
            <w:pPr>
              <w:jc w:val="center"/>
            </w:pPr>
            <w:r>
              <w:t>19.03.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02.04.</w:t>
            </w:r>
          </w:p>
          <w:p w:rsidR="009D6A7C" w:rsidRDefault="00E87192" w:rsidP="00E87192">
            <w:pPr>
              <w:jc w:val="center"/>
            </w:pPr>
            <w:r>
              <w:t>16.04. 30.04.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14.05.</w:t>
            </w:r>
          </w:p>
          <w:p w:rsidR="009D6A7C" w:rsidRDefault="00E87192" w:rsidP="00E87192">
            <w:pPr>
              <w:jc w:val="center"/>
            </w:pPr>
            <w:r>
              <w:t>28.05.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11.06.</w:t>
            </w:r>
          </w:p>
          <w:p w:rsidR="009D6A7C" w:rsidRDefault="00E87192" w:rsidP="00E87192">
            <w:pPr>
              <w:jc w:val="center"/>
            </w:pPr>
            <w:r>
              <w:t>25.06.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09.07.</w:t>
            </w:r>
          </w:p>
          <w:p w:rsidR="009D6A7C" w:rsidRDefault="00E87192" w:rsidP="00E87192">
            <w:pPr>
              <w:jc w:val="center"/>
            </w:pPr>
            <w:r>
              <w:t>23.07.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06.08.</w:t>
            </w:r>
          </w:p>
          <w:p w:rsidR="009D6A7C" w:rsidRDefault="00E87192" w:rsidP="00E87192">
            <w:pPr>
              <w:jc w:val="center"/>
            </w:pPr>
            <w:r>
              <w:t>20.08.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03.09.</w:t>
            </w:r>
          </w:p>
          <w:p w:rsidR="009D6A7C" w:rsidRDefault="00E87192" w:rsidP="00E87192">
            <w:pPr>
              <w:jc w:val="center"/>
            </w:pPr>
            <w:r>
              <w:t>17.09.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01.10.</w:t>
            </w:r>
          </w:p>
          <w:p w:rsidR="00E87192" w:rsidRDefault="00E87192" w:rsidP="00E87192">
            <w:pPr>
              <w:jc w:val="center"/>
            </w:pPr>
            <w:r>
              <w:t>15.10.</w:t>
            </w:r>
          </w:p>
          <w:p w:rsidR="009D6A7C" w:rsidRDefault="00E87192" w:rsidP="00E87192">
            <w:pPr>
              <w:jc w:val="center"/>
            </w:pPr>
            <w:r>
              <w:t>29.10.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12.11.</w:t>
            </w:r>
          </w:p>
          <w:p w:rsidR="009D6A7C" w:rsidRDefault="00E87192" w:rsidP="00E87192">
            <w:pPr>
              <w:jc w:val="center"/>
            </w:pPr>
            <w:r>
              <w:t>26.11.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10.12.</w:t>
            </w:r>
          </w:p>
          <w:p w:rsidR="009D6A7C" w:rsidRDefault="00E87192" w:rsidP="00E87192">
            <w:pPr>
              <w:jc w:val="center"/>
            </w:pPr>
            <w:r>
              <w:t>24.12.</w:t>
            </w:r>
          </w:p>
        </w:tc>
      </w:tr>
    </w:tbl>
    <w:p w:rsidR="009F2976" w:rsidRPr="00B24713" w:rsidRDefault="007544B2" w:rsidP="007E72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7E723D">
        <w:rPr>
          <w:b/>
          <w:sz w:val="24"/>
          <w:szCs w:val="24"/>
        </w:rPr>
        <w:t xml:space="preserve"> </w:t>
      </w:r>
      <w:r w:rsidR="00B24713">
        <w:rPr>
          <w:b/>
          <w:sz w:val="24"/>
          <w:szCs w:val="24"/>
        </w:rPr>
        <w:t xml:space="preserve">- </w:t>
      </w:r>
      <w:r w:rsidR="00B24713" w:rsidRPr="00B24713">
        <w:rPr>
          <w:sz w:val="24"/>
          <w:szCs w:val="24"/>
        </w:rPr>
        <w:t>ulica Bana Josipa Jelačića, Kalnička, Ljudevita Gaja, Zagorska, Antuna Mihanovića, Petra Krešimira, Augusta Šenoe, Školska, A. K. Miošića</w:t>
      </w:r>
    </w:p>
    <w:p w:rsidR="003D0F57" w:rsidRDefault="003D0F57"/>
    <w:p w:rsidR="009F2976" w:rsidRDefault="009F2976"/>
    <w:p w:rsidR="00D61703" w:rsidRDefault="00D61703" w:rsidP="00D61703">
      <w:pPr>
        <w:jc w:val="center"/>
        <w:rPr>
          <w:b/>
        </w:rPr>
      </w:pPr>
      <w:r>
        <w:rPr>
          <w:b/>
        </w:rPr>
        <w:t>RASPORED R</w:t>
      </w:r>
      <w:r w:rsidR="00D9575E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653F2" w:rsidTr="00D653F2">
        <w:tc>
          <w:tcPr>
            <w:tcW w:w="14220" w:type="dxa"/>
            <w:shd w:val="clear" w:color="auto" w:fill="D9D9D9" w:themeFill="background1" w:themeFillShade="D9"/>
            <w:hideMark/>
          </w:tcPr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</w:tbl>
    <w:p w:rsidR="00AF68F4" w:rsidRDefault="00AF68F4"/>
    <w:p w:rsidR="00AF68F4" w:rsidRDefault="00AF68F4" w:rsidP="00AF68F4"/>
    <w:p w:rsidR="009F2976" w:rsidRDefault="00AF68F4" w:rsidP="00AF68F4">
      <w:pPr>
        <w:tabs>
          <w:tab w:val="left" w:pos="1834"/>
        </w:tabs>
      </w:pPr>
      <w:r>
        <w:tab/>
      </w:r>
    </w:p>
    <w:p w:rsidR="00AF68F4" w:rsidRDefault="00AF68F4" w:rsidP="00AF68F4">
      <w:pPr>
        <w:tabs>
          <w:tab w:val="left" w:pos="1834"/>
        </w:tabs>
      </w:pPr>
    </w:p>
    <w:p w:rsidR="00AF68F4" w:rsidRDefault="00AF68F4" w:rsidP="00AF68F4">
      <w:pPr>
        <w:tabs>
          <w:tab w:val="left" w:pos="1834"/>
        </w:tabs>
        <w:sectPr w:rsidR="00AF68F4" w:rsidSect="00D617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F68F4" w:rsidRDefault="00AF68F4" w:rsidP="00AF68F4">
      <w:r w:rsidRPr="00AF68F4">
        <w:rPr>
          <w:noProof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16148DBC" wp14:editId="2D8E1FBE">
            <wp:simplePos x="0" y="0"/>
            <wp:positionH relativeFrom="margin">
              <wp:posOffset>6151245</wp:posOffset>
            </wp:positionH>
            <wp:positionV relativeFrom="margin">
              <wp:posOffset>334010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F68F4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58F3F16" wp14:editId="3373EED5">
            <wp:simplePos x="0" y="0"/>
            <wp:positionH relativeFrom="rightMargin">
              <wp:posOffset>-441325</wp:posOffset>
            </wp:positionH>
            <wp:positionV relativeFrom="margin">
              <wp:posOffset>-165735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F68F4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0459EAD9" wp14:editId="08934A1F">
            <wp:simplePos x="0" y="0"/>
            <wp:positionH relativeFrom="margin">
              <wp:posOffset>2069692</wp:posOffset>
            </wp:positionH>
            <wp:positionV relativeFrom="paragraph">
              <wp:posOffset>-222885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F68F4" w:rsidRDefault="00AF68F4" w:rsidP="00AF68F4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4F7F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F193A" wp14:editId="67077E31">
                <wp:simplePos x="0" y="0"/>
                <wp:positionH relativeFrom="margin">
                  <wp:posOffset>1080135</wp:posOffset>
                </wp:positionH>
                <wp:positionV relativeFrom="paragraph">
                  <wp:posOffset>270510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F68F4" w:rsidRDefault="00AF68F4" w:rsidP="00AF68F4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AF68F4" w:rsidRDefault="00AF68F4" w:rsidP="00AF68F4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F68F4" w:rsidRDefault="00AF68F4" w:rsidP="00AF68F4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F68F4" w:rsidRDefault="00AF68F4" w:rsidP="00AF68F4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85.05pt;margin-top:21.3pt;width:363pt;height:22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NP3opfdAAAACQEAAA8AAAAAAAAAAAAAAAAAOgQAAGRycy9kb3ducmV2LnhtbFBLBQYA&#10;AAAABAAEAPMAAABEBQAAAAA=&#10;" stroked="f">
                <v:textbox>
                  <w:txbxContent>
                    <w:p w:rsidR="00AF68F4" w:rsidRDefault="00AF68F4" w:rsidP="00AF68F4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AF68F4" w:rsidRDefault="00AF68F4" w:rsidP="00AF68F4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F68F4" w:rsidRDefault="00AF68F4" w:rsidP="00AF68F4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F68F4" w:rsidRDefault="00AF68F4" w:rsidP="00AF68F4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8F4" w:rsidRDefault="00AF68F4" w:rsidP="00AF68F4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AF68F4" w:rsidRDefault="00AF68F4" w:rsidP="00AF68F4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AF68F4" w:rsidRPr="004F7F8F" w:rsidRDefault="00AF68F4" w:rsidP="00AF68F4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4F7F8F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AF68F4" w:rsidRDefault="00AF68F4" w:rsidP="00AF68F4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AF68F4" w:rsidRPr="004F7F8F" w:rsidRDefault="00AF68F4" w:rsidP="00AF68F4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AF68F4" w:rsidRPr="004F7F8F" w:rsidRDefault="00AF68F4" w:rsidP="00AF68F4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AF68F4" w:rsidRPr="004F7F8F" w:rsidRDefault="00AF68F4" w:rsidP="00AF68F4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AF68F4" w:rsidRPr="004F7F8F" w:rsidRDefault="00AF68F4" w:rsidP="00AF68F4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AF68F4" w:rsidRPr="004F7F8F" w:rsidRDefault="00AF68F4" w:rsidP="00AF68F4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dvorište može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 se predati opasni otpad (baterije, žarulje, boje, lakovi, električna i elektronička oprema… ),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</w:t>
      </w:r>
      <w:r>
        <w:rPr>
          <w:rFonts w:ascii="Calibri" w:eastAsia="Calibri" w:hAnsi="Calibri" w:cs="Times New Roman"/>
          <w:sz w:val="24"/>
          <w:szCs w:val="24"/>
        </w:rPr>
        <w:t>klabilni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otpad, glomazni otpad </w:t>
      </w:r>
      <w:r w:rsidRPr="004F7F8F">
        <w:rPr>
          <w:rFonts w:ascii="Calibri" w:eastAsia="Calibri" w:hAnsi="Calibri" w:cs="Times New Roman"/>
          <w:sz w:val="24"/>
          <w:szCs w:val="24"/>
        </w:rPr>
        <w:t>na lokaciji Ulica 5. studenog 31, Ludbreg.</w:t>
      </w:r>
    </w:p>
    <w:p w:rsidR="00AF68F4" w:rsidRPr="004F7F8F" w:rsidRDefault="00AF68F4" w:rsidP="00AF68F4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AF68F4" w:rsidRPr="004F7F8F" w:rsidRDefault="00AF68F4" w:rsidP="00AF68F4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AF68F4" w:rsidRPr="004F7F8F" w:rsidRDefault="00AF68F4" w:rsidP="00AF68F4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F7F8F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4F7F8F">
        <w:rPr>
          <w:rFonts w:ascii="Calibri" w:eastAsia="Calibri" w:hAnsi="Calibri" w:cs="Calibri"/>
          <w:sz w:val="24"/>
          <w:szCs w:val="24"/>
        </w:rPr>
        <w:t>³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stranici </w:t>
      </w:r>
      <w:hyperlink r:id="rId11" w:history="1">
        <w:r w:rsidRPr="00556B44">
          <w:rPr>
            <w:rStyle w:val="Hiperveza"/>
            <w:rFonts w:ascii="Calibri" w:eastAsia="Calibri" w:hAnsi="Calibri" w:cs="Times New Roman"/>
            <w:sz w:val="24"/>
            <w:szCs w:val="24"/>
          </w:rPr>
          <w:t>www.lukom.hr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te poslati na mail </w:t>
      </w:r>
      <w:hyperlink r:id="rId12" w:history="1">
        <w:r w:rsidRPr="004F7F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4F7F8F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AF68F4" w:rsidRPr="004F7F8F" w:rsidRDefault="00AF68F4" w:rsidP="00AF68F4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3" w:history="1">
        <w:r w:rsidRPr="004F7F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4F7F8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AF68F4" w:rsidRDefault="00AF68F4" w:rsidP="00AF68F4"/>
    <w:p w:rsidR="00AF68F4" w:rsidRDefault="00AF68F4" w:rsidP="00AF68F4"/>
    <w:p w:rsidR="00866134" w:rsidRDefault="00866134" w:rsidP="00AF68F4">
      <w:pPr>
        <w:tabs>
          <w:tab w:val="left" w:pos="1834"/>
        </w:tabs>
      </w:pPr>
      <w:bookmarkStart w:id="0" w:name="_GoBack"/>
      <w:bookmarkEnd w:id="0"/>
    </w:p>
    <w:p w:rsidR="00AF68F4" w:rsidRPr="00866134" w:rsidRDefault="00866134" w:rsidP="00866134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390FC" wp14:editId="150DED17">
                <wp:simplePos x="0" y="0"/>
                <wp:positionH relativeFrom="page">
                  <wp:posOffset>509857</wp:posOffset>
                </wp:positionH>
                <wp:positionV relativeFrom="paragraph">
                  <wp:posOffset>328930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6134" w:rsidRDefault="00866134" w:rsidP="00866134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</w:p>
                          <w:p w:rsidR="00866134" w:rsidRDefault="00866134" w:rsidP="0086613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66134" w:rsidRDefault="00866134" w:rsidP="0086613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66134" w:rsidRDefault="00866134" w:rsidP="0086613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66134" w:rsidRDefault="00866134" w:rsidP="0086613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66134" w:rsidRDefault="00866134" w:rsidP="00866134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15pt;margin-top:25.9pt;width:509.4pt;height:38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" stroked="f">
                <v:textbox>
                  <w:txbxContent>
                    <w:p w:rsidR="00866134" w:rsidRDefault="00866134" w:rsidP="00866134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</w:p>
                    <w:p w:rsidR="00866134" w:rsidRDefault="00866134" w:rsidP="0086613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66134" w:rsidRDefault="00866134" w:rsidP="0086613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66134" w:rsidRDefault="00866134" w:rsidP="0086613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66134" w:rsidRDefault="00866134" w:rsidP="0086613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66134" w:rsidRDefault="00866134" w:rsidP="00866134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F68F4" w:rsidRPr="00866134" w:rsidSect="004F7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81D47"/>
    <w:rsid w:val="002E52C9"/>
    <w:rsid w:val="00374121"/>
    <w:rsid w:val="003D0F57"/>
    <w:rsid w:val="00405424"/>
    <w:rsid w:val="00426115"/>
    <w:rsid w:val="00600542"/>
    <w:rsid w:val="00701C80"/>
    <w:rsid w:val="00741570"/>
    <w:rsid w:val="007544B2"/>
    <w:rsid w:val="007B4DD6"/>
    <w:rsid w:val="007E723D"/>
    <w:rsid w:val="00866134"/>
    <w:rsid w:val="008A43BA"/>
    <w:rsid w:val="00951EAD"/>
    <w:rsid w:val="009D6A7C"/>
    <w:rsid w:val="009F2976"/>
    <w:rsid w:val="00A44805"/>
    <w:rsid w:val="00AC046A"/>
    <w:rsid w:val="00AF68F4"/>
    <w:rsid w:val="00B24713"/>
    <w:rsid w:val="00B73968"/>
    <w:rsid w:val="00BE3D08"/>
    <w:rsid w:val="00BF0361"/>
    <w:rsid w:val="00C4768A"/>
    <w:rsid w:val="00C504D8"/>
    <w:rsid w:val="00C73D8B"/>
    <w:rsid w:val="00D22EB5"/>
    <w:rsid w:val="00D3215D"/>
    <w:rsid w:val="00D5405B"/>
    <w:rsid w:val="00D61703"/>
    <w:rsid w:val="00D653F2"/>
    <w:rsid w:val="00D9575E"/>
    <w:rsid w:val="00E87192"/>
    <w:rsid w:val="00EF0C92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F68F4"/>
    <w:rPr>
      <w:color w:val="0000FF" w:themeColor="hyperlink"/>
      <w:u w:val="single"/>
    </w:rPr>
  </w:style>
  <w:style w:type="paragraph" w:styleId="Bezproreda">
    <w:name w:val="No Spacing"/>
    <w:rsid w:val="00AF68F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F68F4"/>
    <w:rPr>
      <w:color w:val="0000FF" w:themeColor="hyperlink"/>
      <w:u w:val="single"/>
    </w:rPr>
  </w:style>
  <w:style w:type="paragraph" w:styleId="Bezproreda">
    <w:name w:val="No Spacing"/>
    <w:rsid w:val="00AF68F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hyperlink" Target="mailto:lukom@luk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kom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9</cp:revision>
  <cp:lastPrinted>2023-11-21T10:30:00Z</cp:lastPrinted>
  <dcterms:created xsi:type="dcterms:W3CDTF">2023-10-26T08:42:00Z</dcterms:created>
  <dcterms:modified xsi:type="dcterms:W3CDTF">2023-12-20T07:25:00Z</dcterms:modified>
</cp:coreProperties>
</file>